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25" w:rsidRPr="00DD19C7" w:rsidRDefault="00862D25" w:rsidP="00862D25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19C7">
        <w:rPr>
          <w:rFonts w:ascii="David" w:hAnsi="David" w:cs="David"/>
          <w:b/>
          <w:bCs/>
          <w:sz w:val="24"/>
          <w:szCs w:val="24"/>
          <w:u w:val="single"/>
          <w:rtl/>
        </w:rPr>
        <w:t>עבודת סיכום ליחידת המעבדה בנושא הצפנה</w:t>
      </w:r>
    </w:p>
    <w:p w:rsidR="00862D25" w:rsidRDefault="00862D25" w:rsidP="00862D25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C2007">
        <w:rPr>
          <w:rFonts w:ascii="David" w:hAnsi="David" w:cs="David"/>
          <w:sz w:val="24"/>
          <w:szCs w:val="24"/>
          <w:rtl/>
        </w:rPr>
        <w:t>בחירת צורת ההצפנה</w:t>
      </w:r>
    </w:p>
    <w:p w:rsidR="00862D25" w:rsidRDefault="00862D25" w:rsidP="00862D2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מצורפים שני קבצים. חלקיכם מכירים אותם אך עדיין אתם נדרשים לקריאה יותר מעמיקה של הנושא.</w:t>
      </w:r>
    </w:p>
    <w:p w:rsidR="00862D25" w:rsidRDefault="00862D25" w:rsidP="00862D25">
      <w:pPr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קיראו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את הקבצים היטב ובחרו שיטת הצפנה שאותה תפתחו במסגרת העבודה שלכם ביחידה זו.</w:t>
      </w:r>
    </w:p>
    <w:p w:rsidR="00862D25" w:rsidRPr="00DD19C7" w:rsidRDefault="00862D25" w:rsidP="00862D25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19C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שימו לב- אין לבחור בשיטות הצפנה </w:t>
      </w:r>
      <w:proofErr w:type="spellStart"/>
      <w:r w:rsidRPr="00DD19C7">
        <w:rPr>
          <w:rFonts w:ascii="David" w:hAnsi="David" w:cs="David" w:hint="cs"/>
          <w:b/>
          <w:bCs/>
          <w:sz w:val="24"/>
          <w:szCs w:val="24"/>
          <w:u w:val="single"/>
          <w:rtl/>
        </w:rPr>
        <w:t>אתבש</w:t>
      </w:r>
      <w:proofErr w:type="spellEnd"/>
      <w:r w:rsidRPr="00DD19C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 </w:t>
      </w:r>
      <w:proofErr w:type="spellStart"/>
      <w:r w:rsidRPr="00DD19C7">
        <w:rPr>
          <w:rFonts w:ascii="David" w:hAnsi="David" w:cs="David" w:hint="cs"/>
          <w:b/>
          <w:bCs/>
          <w:sz w:val="24"/>
          <w:szCs w:val="24"/>
          <w:u w:val="single"/>
          <w:rtl/>
        </w:rPr>
        <w:t>אלבמ</w:t>
      </w:r>
      <w:proofErr w:type="spellEnd"/>
      <w:r w:rsidRPr="00DD19C7"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</w:p>
    <w:p w:rsidR="00862D25" w:rsidRDefault="00862D25" w:rsidP="00862D25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ישנם מספר סוגי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הצפנות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כל מי שבוחר בשיטת שחלוף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ידרש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לבחור בשתי שיטות הצפנה שונות. מי שבוחר  בשיטת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עירבול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-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ידרש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לבחור בשיטה אחת. בתום בחירת השיטה המועדפת- עליכם לקבל את אישורי לעבודה. </w:t>
      </w:r>
      <w:r w:rsidRPr="00DD19C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אין להמשיך בעבודה ללא קבלת אישור ממני. עליכם להראות לי בקיאות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בסיסית </w:t>
      </w:r>
      <w:r w:rsidRPr="00DD19C7">
        <w:rPr>
          <w:rFonts w:ascii="David" w:hAnsi="David" w:cs="David" w:hint="cs"/>
          <w:b/>
          <w:bCs/>
          <w:sz w:val="24"/>
          <w:szCs w:val="24"/>
          <w:u w:val="single"/>
          <w:rtl/>
        </w:rPr>
        <w:t>בשיטת ההצפנה שבחרתם.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לאחר קבלת האישור לתחילת העבודה אתם נדרשים לעמוד בלוז  המפורט  </w:t>
      </w:r>
      <w:r>
        <w:rPr>
          <w:rFonts w:ascii="David" w:hAnsi="David" w:cs="David" w:hint="cs"/>
          <w:sz w:val="24"/>
          <w:szCs w:val="24"/>
          <w:rtl/>
        </w:rPr>
        <w:t>בנספח</w:t>
      </w:r>
      <w:r>
        <w:rPr>
          <w:rFonts w:ascii="David" w:hAnsi="David" w:cs="David" w:hint="cs"/>
          <w:sz w:val="24"/>
          <w:szCs w:val="24"/>
          <w:rtl/>
        </w:rPr>
        <w:t xml:space="preserve"> הקרוי מדדים להערכה</w:t>
      </w:r>
      <w:r>
        <w:rPr>
          <w:rFonts w:ascii="David" w:hAnsi="David" w:cs="David" w:hint="cs"/>
          <w:sz w:val="24"/>
          <w:szCs w:val="24"/>
          <w:rtl/>
        </w:rPr>
        <w:t xml:space="preserve"> המופיע בהמשך </w:t>
      </w:r>
      <w:r>
        <w:rPr>
          <w:rFonts w:ascii="David" w:hAnsi="David" w:cs="David" w:hint="cs"/>
          <w:sz w:val="24"/>
          <w:szCs w:val="24"/>
          <w:rtl/>
        </w:rPr>
        <w:t xml:space="preserve"> ובתנאים הנדרשים למתן הציון בעבודה. אי עמידה בלוז יגרע מהציון הסופי שלכם כפי שמפורט בקובץ. </w:t>
      </w:r>
    </w:p>
    <w:p w:rsidR="00862D25" w:rsidRPr="004F4183" w:rsidRDefault="00862D25" w:rsidP="00862D25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F418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תלמיד שרוצה לבחור נושא אחר- נדרש לקבל את אישורי </w:t>
      </w:r>
      <w:proofErr w:type="spellStart"/>
      <w:r w:rsidRPr="004F4183">
        <w:rPr>
          <w:rFonts w:ascii="David" w:hAnsi="David" w:cs="David" w:hint="cs"/>
          <w:b/>
          <w:bCs/>
          <w:sz w:val="24"/>
          <w:szCs w:val="24"/>
          <w:u w:val="single"/>
          <w:rtl/>
        </w:rPr>
        <w:t>המייידי</w:t>
      </w:r>
      <w:proofErr w:type="spellEnd"/>
      <w:r w:rsidRPr="004F418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4F4183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4F418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עד לתאריך 25 במאי</w:t>
      </w:r>
    </w:p>
    <w:p w:rsidR="00862D25" w:rsidRDefault="00862D25" w:rsidP="00862D2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העבודה תכיל את כל מרכיבי שפת הלימוד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באסמבלי</w:t>
      </w:r>
      <w:proofErr w:type="spellEnd"/>
      <w:r>
        <w:rPr>
          <w:rFonts w:ascii="David" w:hAnsi="David" w:cs="David" w:hint="cs"/>
          <w:sz w:val="24"/>
          <w:szCs w:val="24"/>
          <w:rtl/>
        </w:rPr>
        <w:t>- ובכללם:</w:t>
      </w:r>
    </w:p>
    <w:p w:rsidR="00862D25" w:rsidRPr="00297758" w:rsidRDefault="00862D25" w:rsidP="00862D25">
      <w:pPr>
        <w:pStyle w:val="a4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297758">
        <w:rPr>
          <w:rFonts w:ascii="David" w:hAnsi="David" w:cs="David" w:hint="cs"/>
          <w:sz w:val="24"/>
          <w:szCs w:val="24"/>
          <w:rtl/>
        </w:rPr>
        <w:t>הגדרת משתנים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862D25" w:rsidRPr="00297758" w:rsidRDefault="00862D25" w:rsidP="00862D25">
      <w:pPr>
        <w:pStyle w:val="a4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297758">
        <w:rPr>
          <w:rFonts w:ascii="David" w:hAnsi="David" w:cs="David" w:hint="cs"/>
          <w:sz w:val="24"/>
          <w:szCs w:val="24"/>
          <w:rtl/>
        </w:rPr>
        <w:t>משפטי בקרה/הוראות קפיצה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862D25" w:rsidRPr="00297758" w:rsidRDefault="00862D25" w:rsidP="00862D25">
      <w:pPr>
        <w:pStyle w:val="a4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297758">
        <w:rPr>
          <w:rFonts w:ascii="David" w:hAnsi="David" w:cs="David" w:hint="cs"/>
          <w:sz w:val="24"/>
          <w:szCs w:val="24"/>
          <w:rtl/>
        </w:rPr>
        <w:t>פרוצדורות/ מחסנית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862D25" w:rsidRDefault="00862D25" w:rsidP="00862D25">
      <w:pPr>
        <w:pStyle w:val="a4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297758">
        <w:rPr>
          <w:rFonts w:ascii="David" w:hAnsi="David" w:cs="David" w:hint="cs"/>
          <w:sz w:val="24"/>
          <w:szCs w:val="24"/>
          <w:rtl/>
        </w:rPr>
        <w:t>פסיקות חומרה /תוכנה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862D25" w:rsidRDefault="00862D25" w:rsidP="00862D2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יחד עם העבודה עליכם להגיש תיק פרויקט כפי שפורט במסמך הקודם שנשלח. עם סיום העבודה- תידרשו להציגה בפני ולהסביר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במדוייק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מה עשיתם. העבודה היא אישית. הערכה תעשה גם על מידת העבודה שלכם בכיתה. </w:t>
      </w:r>
    </w:p>
    <w:p w:rsidR="00862D25" w:rsidRPr="00862D25" w:rsidRDefault="00862D25" w:rsidP="00862D25">
      <w:pPr>
        <w:spacing w:line="360" w:lineRule="auto"/>
        <w:rPr>
          <w:rFonts w:ascii="David" w:hAnsi="David" w:cs="David"/>
          <w:b/>
          <w:bCs/>
          <w:sz w:val="72"/>
          <w:szCs w:val="72"/>
          <w:u w:val="single"/>
          <w:rtl/>
        </w:rPr>
      </w:pPr>
      <w:r w:rsidRPr="00862D25">
        <w:rPr>
          <w:rFonts w:ascii="David" w:hAnsi="David" w:cs="David" w:hint="cs"/>
          <w:b/>
          <w:bCs/>
          <w:sz w:val="72"/>
          <w:szCs w:val="72"/>
          <w:u w:val="single"/>
          <w:rtl/>
        </w:rPr>
        <w:t>לא אאפשר לתלמיד לשבת בכיתה ולא לעשות כלום</w:t>
      </w:r>
    </w:p>
    <w:p w:rsidR="00862D25" w:rsidRDefault="00862D25" w:rsidP="00862D2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בהצלחה לכולם.</w:t>
      </w:r>
    </w:p>
    <w:p w:rsidR="00862D25" w:rsidRDefault="00862D25" w:rsidP="009569E5">
      <w:pPr>
        <w:spacing w:line="360" w:lineRule="auto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</w:p>
    <w:p w:rsidR="00A07AC4" w:rsidRPr="009569E5" w:rsidRDefault="00A07AC4" w:rsidP="009569E5">
      <w:pPr>
        <w:spacing w:line="360" w:lineRule="auto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9569E5">
        <w:rPr>
          <w:rFonts w:ascii="David" w:hAnsi="David" w:cs="David" w:hint="cs"/>
          <w:b/>
          <w:bCs/>
          <w:sz w:val="44"/>
          <w:szCs w:val="44"/>
          <w:u w:val="single"/>
          <w:rtl/>
        </w:rPr>
        <w:t>מדדים להערכה</w:t>
      </w:r>
      <w:r w:rsidR="009569E5"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 למידה משמעותית 30%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273"/>
        <w:gridCol w:w="828"/>
        <w:gridCol w:w="1409"/>
        <w:gridCol w:w="1560"/>
        <w:gridCol w:w="1840"/>
        <w:gridCol w:w="2267"/>
        <w:gridCol w:w="2271"/>
        <w:gridCol w:w="1132"/>
        <w:gridCol w:w="1268"/>
        <w:gridCol w:w="1535"/>
      </w:tblGrid>
      <w:tr w:rsidR="00A95E0B" w:rsidTr="00A95E0B">
        <w:tc>
          <w:tcPr>
            <w:tcW w:w="414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69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אחוז מהציון הסופי</w:t>
            </w:r>
          </w:p>
        </w:tc>
        <w:tc>
          <w:tcPr>
            <w:tcW w:w="45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נכשל</w:t>
            </w:r>
          </w:p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0-59</w:t>
            </w:r>
          </w:p>
        </w:tc>
        <w:tc>
          <w:tcPr>
            <w:tcW w:w="507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נמוך</w:t>
            </w:r>
          </w:p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60-69</w:t>
            </w:r>
          </w:p>
        </w:tc>
        <w:tc>
          <w:tcPr>
            <w:tcW w:w="59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בינוני</w:t>
            </w:r>
          </w:p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70-79</w:t>
            </w:r>
          </w:p>
        </w:tc>
        <w:tc>
          <w:tcPr>
            <w:tcW w:w="737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גבוה</w:t>
            </w:r>
          </w:p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80-94</w:t>
            </w:r>
          </w:p>
        </w:tc>
        <w:tc>
          <w:tcPr>
            <w:tcW w:w="73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מצטיין</w:t>
            </w:r>
          </w:p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95-100</w:t>
            </w:r>
          </w:p>
        </w:tc>
        <w:tc>
          <w:tcPr>
            <w:tcW w:w="36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לוז</w:t>
            </w:r>
          </w:p>
        </w:tc>
        <w:tc>
          <w:tcPr>
            <w:tcW w:w="412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סנקציה במידה ולא עמד בלוז</w:t>
            </w:r>
          </w:p>
        </w:tc>
        <w:tc>
          <w:tcPr>
            <w:tcW w:w="499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הערות</w:t>
            </w:r>
          </w:p>
        </w:tc>
      </w:tr>
      <w:tr w:rsidR="00A95E0B" w:rsidTr="00A95E0B">
        <w:tc>
          <w:tcPr>
            <w:tcW w:w="414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קריאת חומר הלימוד המצורף</w:t>
            </w:r>
          </w:p>
        </w:tc>
        <w:tc>
          <w:tcPr>
            <w:tcW w:w="269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45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קרא בכלל</w:t>
            </w:r>
          </w:p>
        </w:tc>
        <w:tc>
          <w:tcPr>
            <w:tcW w:w="507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קרא רק את כותרות הפרקים</w:t>
            </w:r>
          </w:p>
        </w:tc>
        <w:tc>
          <w:tcPr>
            <w:tcW w:w="59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קרא אך לא בחר נושא</w:t>
            </w:r>
          </w:p>
        </w:tc>
        <w:tc>
          <w:tcPr>
            <w:tcW w:w="737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קרא לעומק הבין ובחר נושא</w:t>
            </w:r>
          </w:p>
        </w:tc>
        <w:tc>
          <w:tcPr>
            <w:tcW w:w="73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קרא את כל מה שבקבצים- העמיק וחקר במקורות מידע נוספים ובחר נושא שלא מופיע בפרקים תוך הפגנת ידע בבחירה</w:t>
            </w:r>
          </w:p>
        </w:tc>
        <w:tc>
          <w:tcPr>
            <w:tcW w:w="36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עד 13 ביוני- לאחר חג שבועות</w:t>
            </w:r>
          </w:p>
          <w:p w:rsidR="00A07AC4" w:rsidRDefault="00A07AC4" w:rsidP="00A07AC4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2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הורדת 5 נקודות</w:t>
            </w:r>
          </w:p>
        </w:tc>
        <w:tc>
          <w:tcPr>
            <w:tcW w:w="499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95E0B" w:rsidTr="00A95E0B">
        <w:tc>
          <w:tcPr>
            <w:tcW w:w="414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הכנת הסבר לאופן העבודה</w:t>
            </w:r>
          </w:p>
        </w:tc>
        <w:tc>
          <w:tcPr>
            <w:tcW w:w="269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45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 יודע מה לעשות. כל העבודה הינה מוכתבת מצד המורה ללא כל יוזמה אישית של התלמיד</w:t>
            </w:r>
          </w:p>
        </w:tc>
        <w:tc>
          <w:tcPr>
            <w:tcW w:w="507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מסוגל להסביר בעל פה את הרעיון הכללי של עבודתו אך עדיין נדרש להכוונה של המורה</w:t>
            </w:r>
          </w:p>
        </w:tc>
        <w:tc>
          <w:tcPr>
            <w:tcW w:w="59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מגיש הצעה כתובה על אופן העבודה- ללא קוד  התחלתי</w:t>
            </w:r>
          </w:p>
        </w:tc>
        <w:tc>
          <w:tcPr>
            <w:tcW w:w="737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קיימת תכנית ברורה על אופן שיטת ההצפנה כולל משתנים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אופן הקלט ואופן הפלט של המסר המוצפן- כל התצוגה הינה טקסטואלית</w:t>
            </w:r>
          </w:p>
        </w:tc>
        <w:tc>
          <w:tcPr>
            <w:tcW w:w="73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קיימים אלמנטים גרפיים בתצוגה.</w:t>
            </w:r>
          </w:p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קיימים אפקטים קוליים ותפריט  למשתמש</w:t>
            </w:r>
          </w:p>
        </w:tc>
        <w:tc>
          <w:tcPr>
            <w:tcW w:w="36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אמצע אוגוסט</w:t>
            </w:r>
          </w:p>
        </w:tc>
        <w:tc>
          <w:tcPr>
            <w:tcW w:w="412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הורדה של 10 נקודות</w:t>
            </w:r>
          </w:p>
        </w:tc>
        <w:tc>
          <w:tcPr>
            <w:tcW w:w="499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הגשת העבודה בשלב זה תעשה במשוב תוך כדי שליחת הודעה במסרון על ביצוע שלב זה</w:t>
            </w:r>
          </w:p>
        </w:tc>
      </w:tr>
      <w:tr w:rsidR="00A95E0B" w:rsidTr="00A95E0B">
        <w:tc>
          <w:tcPr>
            <w:tcW w:w="414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הכנת ממשק ויזואלי</w:t>
            </w:r>
          </w:p>
        </w:tc>
        <w:tc>
          <w:tcPr>
            <w:tcW w:w="269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45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אין ממשק למשתמש. כל העבודה נעשית מתוך התוכנה</w:t>
            </w:r>
          </w:p>
        </w:tc>
        <w:tc>
          <w:tcPr>
            <w:tcW w:w="507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ממשק שחור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ניכר שאין השקעה באלמנטים</w:t>
            </w:r>
          </w:p>
        </w:tc>
        <w:tc>
          <w:tcPr>
            <w:tcW w:w="59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קיים תפריט המורה למשתמש מה לעשות- הפעלת התוכנית  מחייבת הרצה מחודשת של התוכנה בכל פעם מחדש</w:t>
            </w:r>
          </w:p>
        </w:tc>
        <w:tc>
          <w:tcPr>
            <w:tcW w:w="737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קיים תפריט המורה למשתמש מה לעשות- אין צורך לצאת מהתוכנה בכל פעם שרוצים להצפין מסר אחר</w:t>
            </w:r>
          </w:p>
        </w:tc>
        <w:tc>
          <w:tcPr>
            <w:tcW w:w="73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המסר הנקלט להצפנה- מוסתר בכוכביות- הפלט יופיע כפלט מוצפן</w:t>
            </w:r>
          </w:p>
        </w:tc>
        <w:tc>
          <w:tcPr>
            <w:tcW w:w="368" w:type="pct"/>
          </w:tcPr>
          <w:p w:rsidR="00A07AC4" w:rsidRDefault="00A07AC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14  באוקטובר</w:t>
            </w:r>
          </w:p>
        </w:tc>
        <w:tc>
          <w:tcPr>
            <w:tcW w:w="412" w:type="pct"/>
          </w:tcPr>
          <w:p w:rsidR="00A07AC4" w:rsidRDefault="009569E5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הורדה של 5 נקודות</w:t>
            </w:r>
          </w:p>
        </w:tc>
        <w:tc>
          <w:tcPr>
            <w:tcW w:w="499" w:type="pct"/>
          </w:tcPr>
          <w:p w:rsidR="00A07AC4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ציון נוסף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ינתן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על הפעלה רחבה של פסיקות תוכנה וחומרה</w:t>
            </w:r>
            <w:r w:rsidR="009569E5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9569E5" w:rsidRDefault="009569E5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הגשת העבודה בשלב 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תעשה במשוב תוך כדי שליחת הודעה במסרון על ביצוע שלב זה</w:t>
            </w:r>
          </w:p>
        </w:tc>
      </w:tr>
      <w:tr w:rsidR="00A95E0B" w:rsidTr="00A95E0B">
        <w:tc>
          <w:tcPr>
            <w:tcW w:w="414" w:type="pct"/>
          </w:tcPr>
          <w:p w:rsidR="00A07AC4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ספר פרויקט</w:t>
            </w:r>
          </w:p>
        </w:tc>
        <w:tc>
          <w:tcPr>
            <w:tcW w:w="269" w:type="pct"/>
          </w:tcPr>
          <w:p w:rsidR="00A07AC4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458" w:type="pct"/>
          </w:tcPr>
          <w:p w:rsidR="00A07AC4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</w:t>
            </w:r>
          </w:p>
        </w:tc>
        <w:tc>
          <w:tcPr>
            <w:tcW w:w="507" w:type="pct"/>
          </w:tcPr>
          <w:p w:rsidR="00A07AC4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 הסברים מפורטים על אופן העבודה</w:t>
            </w:r>
          </w:p>
          <w:p w:rsidR="004F15E4" w:rsidRDefault="004F15E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אין ציון של מקורות מידע בכלל</w:t>
            </w:r>
          </w:p>
        </w:tc>
        <w:tc>
          <w:tcPr>
            <w:tcW w:w="598" w:type="pct"/>
          </w:tcPr>
          <w:p w:rsidR="00A07AC4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תיעוד חלקי </w:t>
            </w:r>
          </w:p>
          <w:p w:rsidR="004F15E4" w:rsidRDefault="004F15E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ללא מקורות מידע</w:t>
            </w:r>
          </w:p>
        </w:tc>
        <w:tc>
          <w:tcPr>
            <w:tcW w:w="737" w:type="pct"/>
          </w:tcPr>
          <w:p w:rsidR="00A07AC4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תיעוד מלא של כל המשתנים והפרוצדורות הקיימות בעבודה</w:t>
            </w:r>
          </w:p>
          <w:p w:rsidR="004F15E4" w:rsidRDefault="004F15E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מקורות מידע רק בעברית</w:t>
            </w:r>
          </w:p>
        </w:tc>
        <w:tc>
          <w:tcPr>
            <w:tcW w:w="738" w:type="pct"/>
          </w:tcPr>
          <w:p w:rsidR="00A07AC4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תיעוד מלא ומפורט- כולל הסבר על זרימת המידע בתכנית  וצילומי מסך של הקלט והפלט</w:t>
            </w:r>
          </w:p>
          <w:p w:rsidR="004F15E4" w:rsidRDefault="004F15E4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מקורות מידע משמעותיים גם מקריאת ספרות רלוונטית וגם מחקירת האינטרנט</w:t>
            </w:r>
          </w:p>
        </w:tc>
        <w:tc>
          <w:tcPr>
            <w:tcW w:w="368" w:type="pct"/>
          </w:tcPr>
          <w:p w:rsidR="00A07AC4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סוף נובמבר</w:t>
            </w:r>
          </w:p>
        </w:tc>
        <w:tc>
          <w:tcPr>
            <w:tcW w:w="412" w:type="pct"/>
          </w:tcPr>
          <w:p w:rsidR="00A07AC4" w:rsidRDefault="009569E5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הורדה של 5 נקודות</w:t>
            </w:r>
          </w:p>
        </w:tc>
        <w:tc>
          <w:tcPr>
            <w:tcW w:w="499" w:type="pct"/>
          </w:tcPr>
          <w:p w:rsidR="00A07AC4" w:rsidRDefault="009569E5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הגשת העבודה בשלב זה תעשה במשוב תוך כדי שליחת הודעה במסרון על ביצוע שלב זה</w:t>
            </w:r>
            <w:r w:rsidR="004F15E4">
              <w:rPr>
                <w:rFonts w:ascii="David" w:hAnsi="David" w:cs="David" w:hint="cs"/>
                <w:sz w:val="24"/>
                <w:szCs w:val="24"/>
                <w:rtl/>
              </w:rPr>
              <w:t xml:space="preserve"> ובהתאם להנחיות שנמסרו במהלך השנה</w:t>
            </w:r>
          </w:p>
        </w:tc>
      </w:tr>
      <w:tr w:rsidR="00A95E0B" w:rsidTr="00A95E0B">
        <w:tc>
          <w:tcPr>
            <w:tcW w:w="414" w:type="pct"/>
          </w:tcPr>
          <w:p w:rsidR="00A95E0B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הגנה על הפרויקט</w:t>
            </w:r>
          </w:p>
        </w:tc>
        <w:tc>
          <w:tcPr>
            <w:tcW w:w="269" w:type="pct"/>
          </w:tcPr>
          <w:p w:rsidR="00A95E0B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458" w:type="pct"/>
          </w:tcPr>
          <w:p w:rsidR="00A95E0B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ניכר בתלמיד שהעבודה הוכנה עבורו על ידי גורם חיצוני</w:t>
            </w:r>
          </w:p>
        </w:tc>
        <w:tc>
          <w:tcPr>
            <w:tcW w:w="507" w:type="pct"/>
          </w:tcPr>
          <w:p w:rsidR="00A95E0B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נמוכה בתכנית- לא מסוגל לבצע הנחיות ושינויים  </w:t>
            </w:r>
          </w:p>
        </w:tc>
        <w:tc>
          <w:tcPr>
            <w:tcW w:w="598" w:type="pct"/>
          </w:tcPr>
          <w:p w:rsidR="00A95E0B" w:rsidRDefault="00A95E0B" w:rsidP="00A95E0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בתכנית ללא זיהוי הקוד של האלמנטים המופיעים על המסך </w:t>
            </w:r>
          </w:p>
        </w:tc>
        <w:tc>
          <w:tcPr>
            <w:tcW w:w="737" w:type="pct"/>
          </w:tcPr>
          <w:p w:rsidR="00A95E0B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שליטה מלאה בתכנית תוך כדי הפגנת ידע בכל המטלות והמשימות שאותן אתן לבצע במהלך ההגנה על הפרויקט</w:t>
            </w:r>
          </w:p>
        </w:tc>
        <w:tc>
          <w:tcPr>
            <w:tcW w:w="738" w:type="pct"/>
          </w:tcPr>
          <w:p w:rsidR="00A95E0B" w:rsidRDefault="009569E5" w:rsidP="009569E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הצגה ושליטה של תכנית מושלמת ועובדת כאשר התלמיד מציג רעיונות לשדרוג התכנית ולוז מפורט וחד משמעי לביצוע אותם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השידרוגים</w:t>
            </w:r>
            <w:proofErr w:type="spellEnd"/>
          </w:p>
        </w:tc>
        <w:tc>
          <w:tcPr>
            <w:tcW w:w="368" w:type="pct"/>
          </w:tcPr>
          <w:p w:rsidR="00A95E0B" w:rsidRDefault="009569E5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הימים הראשונים של חופשת חנוכה- הודעה על תאריך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מדוייק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תימסר בכיתה</w:t>
            </w:r>
          </w:p>
        </w:tc>
        <w:tc>
          <w:tcPr>
            <w:tcW w:w="412" w:type="pct"/>
          </w:tcPr>
          <w:p w:rsidR="00A95E0B" w:rsidRDefault="009569E5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הורדה של 10 נקודות</w:t>
            </w:r>
          </w:p>
        </w:tc>
        <w:tc>
          <w:tcPr>
            <w:tcW w:w="499" w:type="pct"/>
          </w:tcPr>
          <w:p w:rsidR="00A95E0B" w:rsidRDefault="00A95E0B" w:rsidP="005E557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A07AC4" w:rsidRPr="00297758" w:rsidRDefault="00A07AC4" w:rsidP="00A07AC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577C1C" w:rsidRPr="00A07AC4" w:rsidRDefault="00577C1C">
      <w:bookmarkStart w:id="0" w:name="_GoBack"/>
      <w:bookmarkEnd w:id="0"/>
    </w:p>
    <w:sectPr w:rsidR="00577C1C" w:rsidRPr="00A07AC4" w:rsidSect="00A95E0B">
      <w:pgSz w:w="16838" w:h="11906" w:orient="landscape"/>
      <w:pgMar w:top="568" w:right="820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5C6"/>
    <w:multiLevelType w:val="hybridMultilevel"/>
    <w:tmpl w:val="FC94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C4"/>
    <w:rsid w:val="004F15E4"/>
    <w:rsid w:val="00577C1C"/>
    <w:rsid w:val="00862D25"/>
    <w:rsid w:val="009569E5"/>
    <w:rsid w:val="00A07AC4"/>
    <w:rsid w:val="00A95E0B"/>
    <w:rsid w:val="00C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590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2016-05-17T19:05:00Z</dcterms:created>
  <dcterms:modified xsi:type="dcterms:W3CDTF">2016-05-17T19:52:00Z</dcterms:modified>
</cp:coreProperties>
</file>